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C30" w:rsidRPr="005808EA" w:rsidRDefault="00087C30" w:rsidP="005808EA">
      <w:pPr>
        <w:rPr>
          <w:rFonts w:ascii="Times New Roman" w:hAnsi="Times New Roman" w:cs="Times New Roman"/>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072"/>
      </w:tblGrid>
      <w:tr w:rsidR="00087C30" w:rsidRPr="005808EA" w:rsidTr="007A2B60">
        <w:sdt>
          <w:sdtPr>
            <w:rPr>
              <w:rFonts w:ascii="Times New Roman" w:hAnsi="Times New Roman" w:cs="Times New Roman"/>
              <w:sz w:val="24"/>
              <w:szCs w:val="24"/>
            </w:rPr>
            <w:alias w:val="Résumé"/>
            <w:id w:val="8276291"/>
            <w:showingPlcHdr/>
            <w:dataBinding w:prefixMappings="xmlns:ns0='http://schemas.microsoft.com/office/2006/coverPageProps'" w:xpath="/ns0:CoverPageProperties[1]/ns0:Abstract[1]" w:storeItemID="{55AF091B-3C7A-41E3-B477-F2FDAA23CFDA}"/>
            <w:text/>
          </w:sdtPr>
          <w:sdtEndPr/>
          <w:sdtContent>
            <w:tc>
              <w:tcPr>
                <w:tcW w:w="5000" w:type="pct"/>
              </w:tcPr>
              <w:p w:rsidR="00087C30" w:rsidRPr="005808EA" w:rsidRDefault="00087C30" w:rsidP="007A2B60">
                <w:pPr>
                  <w:pStyle w:val="Sansinterligne"/>
                  <w:rPr>
                    <w:rFonts w:ascii="Times New Roman" w:hAnsi="Times New Roman" w:cs="Times New Roman"/>
                    <w:sz w:val="24"/>
                    <w:szCs w:val="24"/>
                  </w:rPr>
                </w:pPr>
                <w:r w:rsidRPr="005808EA">
                  <w:rPr>
                    <w:rFonts w:ascii="Times New Roman" w:hAnsi="Times New Roman" w:cs="Times New Roman"/>
                    <w:sz w:val="24"/>
                    <w:szCs w:val="24"/>
                  </w:rPr>
                  <w:t xml:space="preserve">     </w:t>
                </w:r>
              </w:p>
            </w:tc>
          </w:sdtContent>
        </w:sdt>
      </w:tr>
    </w:tbl>
    <w:p w:rsidR="00087C30" w:rsidRPr="005808EA" w:rsidRDefault="00087C30" w:rsidP="00087C30">
      <w:pPr>
        <w:spacing w:after="200" w:line="276" w:lineRule="auto"/>
        <w:rPr>
          <w:rFonts w:ascii="Times New Roman" w:hAnsi="Times New Roman" w:cs="Times New Roman"/>
          <w:b/>
          <w:sz w:val="24"/>
          <w:szCs w:val="24"/>
          <w:u w:val="single"/>
        </w:rPr>
      </w:pPr>
      <w:r w:rsidRPr="005808EA">
        <w:rPr>
          <w:rFonts w:ascii="Times New Roman" w:hAnsi="Times New Roman" w:cs="Times New Roman"/>
          <w:b/>
          <w:sz w:val="24"/>
          <w:szCs w:val="24"/>
          <w:u w:val="single"/>
        </w:rPr>
        <w:t>Français :</w:t>
      </w:r>
    </w:p>
    <w:p w:rsidR="00087C30" w:rsidRPr="005808EA" w:rsidRDefault="00087C30" w:rsidP="00087C30">
      <w:pPr>
        <w:spacing w:after="200" w:line="276" w:lineRule="auto"/>
        <w:ind w:firstLine="708"/>
        <w:rPr>
          <w:rFonts w:ascii="Times New Roman" w:hAnsi="Times New Roman" w:cs="Times New Roman"/>
          <w:sz w:val="24"/>
          <w:szCs w:val="24"/>
        </w:rPr>
      </w:pPr>
      <w:r w:rsidRPr="005808EA">
        <w:rPr>
          <w:rFonts w:ascii="Times New Roman" w:hAnsi="Times New Roman" w:cs="Times New Roman"/>
          <w:sz w:val="24"/>
          <w:szCs w:val="24"/>
        </w:rPr>
        <w:t xml:space="preserve">Avec la réforme des retraites de 2010 et le recul de l’âge d’entrée dans la vie active, la population des salariés en France se trouve aujourd’hui fortement modifiée : les salariés sont plus âgés, ce qui entraîne une augmentation de la probabilité </w:t>
      </w:r>
      <w:r w:rsidR="005808EA" w:rsidRPr="005808EA">
        <w:rPr>
          <w:rFonts w:ascii="Times New Roman" w:hAnsi="Times New Roman" w:cs="Times New Roman"/>
          <w:sz w:val="24"/>
          <w:szCs w:val="24"/>
        </w:rPr>
        <w:t>d’arrêt de travail et de décès.</w:t>
      </w:r>
    </w:p>
    <w:p w:rsidR="00087C30" w:rsidRPr="005808EA" w:rsidRDefault="00087C30" w:rsidP="00087C30">
      <w:pPr>
        <w:spacing w:after="200" w:line="276" w:lineRule="auto"/>
        <w:rPr>
          <w:rFonts w:ascii="Times New Roman" w:hAnsi="Times New Roman" w:cs="Times New Roman"/>
          <w:sz w:val="24"/>
          <w:szCs w:val="24"/>
        </w:rPr>
      </w:pPr>
      <w:r w:rsidRPr="005808EA">
        <w:rPr>
          <w:rFonts w:ascii="Times New Roman" w:hAnsi="Times New Roman" w:cs="Times New Roman"/>
          <w:sz w:val="24"/>
          <w:szCs w:val="24"/>
        </w:rPr>
        <w:t>D’autre part, la fin des clauses de désignation a permis l’introduction de nouveaux acteurs sur le marché de la prévoyance complémentaire, et la concurrence s’est accrue. Les tarifs proposés pour l’assurance décès sont donc soumis à deux contraintes opposées :</w:t>
      </w:r>
    </w:p>
    <w:p w:rsidR="00087C30" w:rsidRPr="005808EA" w:rsidRDefault="00087C30" w:rsidP="00087C30">
      <w:pPr>
        <w:pStyle w:val="Paragraphedeliste"/>
        <w:numPr>
          <w:ilvl w:val="0"/>
          <w:numId w:val="1"/>
        </w:numPr>
        <w:spacing w:after="200" w:line="276" w:lineRule="auto"/>
        <w:rPr>
          <w:rFonts w:ascii="Times New Roman" w:hAnsi="Times New Roman" w:cs="Times New Roman"/>
          <w:sz w:val="24"/>
          <w:szCs w:val="24"/>
        </w:rPr>
      </w:pPr>
      <w:r w:rsidRPr="005808EA">
        <w:rPr>
          <w:rFonts w:ascii="Times New Roman" w:hAnsi="Times New Roman" w:cs="Times New Roman"/>
          <w:sz w:val="24"/>
          <w:szCs w:val="24"/>
        </w:rPr>
        <w:t>D’une part, le risque de mortalité augmente avec le vieillissement de la population, ce qui doit entraîner une augmentation des tarifs</w:t>
      </w:r>
    </w:p>
    <w:p w:rsidR="00087C30" w:rsidRPr="005808EA" w:rsidRDefault="00087C30" w:rsidP="00087C30">
      <w:pPr>
        <w:pStyle w:val="Paragraphedeliste"/>
        <w:numPr>
          <w:ilvl w:val="0"/>
          <w:numId w:val="1"/>
        </w:numPr>
        <w:spacing w:after="200" w:line="276" w:lineRule="auto"/>
        <w:rPr>
          <w:rFonts w:ascii="Times New Roman" w:hAnsi="Times New Roman" w:cs="Times New Roman"/>
          <w:sz w:val="24"/>
          <w:szCs w:val="24"/>
        </w:rPr>
      </w:pPr>
      <w:r w:rsidRPr="005808EA">
        <w:rPr>
          <w:rFonts w:ascii="Times New Roman" w:hAnsi="Times New Roman" w:cs="Times New Roman"/>
          <w:sz w:val="24"/>
          <w:szCs w:val="24"/>
        </w:rPr>
        <w:t>D’autre part, la concurrence contraint les organismes à proposer des tarifs attractifs</w:t>
      </w:r>
    </w:p>
    <w:p w:rsidR="00087C30" w:rsidRPr="005808EA" w:rsidRDefault="00087C30" w:rsidP="00087C30">
      <w:pPr>
        <w:spacing w:after="200" w:line="276" w:lineRule="auto"/>
        <w:rPr>
          <w:rFonts w:ascii="Times New Roman" w:hAnsi="Times New Roman" w:cs="Times New Roman"/>
          <w:sz w:val="24"/>
          <w:szCs w:val="24"/>
          <w:lang w:val="en-US"/>
        </w:rPr>
      </w:pPr>
      <w:r w:rsidRPr="005808EA">
        <w:rPr>
          <w:rFonts w:ascii="Times New Roman" w:hAnsi="Times New Roman" w:cs="Times New Roman"/>
          <w:sz w:val="24"/>
          <w:szCs w:val="24"/>
        </w:rPr>
        <w:t xml:space="preserve">Groupama Gan Vie propose aujourd’hui une tarification basée sur une estimation du taux de mortalité par abattement sur les taux des tables réglementaires TH-0002 et TF-0002. L’étude qui suit propose une approche adaptée au portefeuille, grâce à la production d’une table d’expérience puis d’un modèle de régression permettant la prise en compte de variables propres à chaque entreprise. </w:t>
      </w:r>
      <w:r w:rsidR="00242688" w:rsidRPr="005808EA">
        <w:rPr>
          <w:rFonts w:ascii="Times New Roman" w:hAnsi="Times New Roman" w:cs="Times New Roman"/>
          <w:sz w:val="24"/>
          <w:szCs w:val="24"/>
          <w:lang w:val="en-US"/>
        </w:rPr>
        <w:t>L’étude se limite</w:t>
      </w:r>
      <w:r w:rsidRPr="005808EA">
        <w:rPr>
          <w:rFonts w:ascii="Times New Roman" w:hAnsi="Times New Roman" w:cs="Times New Roman"/>
          <w:sz w:val="24"/>
          <w:szCs w:val="24"/>
          <w:lang w:val="en-US"/>
        </w:rPr>
        <w:t xml:space="preserve"> au risque décès toute cause.</w:t>
      </w:r>
    </w:p>
    <w:p w:rsidR="00626AFB" w:rsidRPr="005808EA" w:rsidRDefault="00626AFB" w:rsidP="00087C30">
      <w:pPr>
        <w:rPr>
          <w:rFonts w:ascii="Times New Roman" w:hAnsi="Times New Roman" w:cs="Times New Roman"/>
          <w:b/>
          <w:sz w:val="24"/>
          <w:szCs w:val="24"/>
          <w:u w:val="single"/>
        </w:rPr>
      </w:pPr>
      <w:r w:rsidRPr="005808EA">
        <w:rPr>
          <w:rFonts w:ascii="Times New Roman" w:hAnsi="Times New Roman" w:cs="Times New Roman"/>
          <w:b/>
          <w:sz w:val="24"/>
          <w:szCs w:val="24"/>
          <w:u w:val="single"/>
        </w:rPr>
        <w:t>English :</w:t>
      </w:r>
    </w:p>
    <w:p w:rsidR="00626AFB" w:rsidRPr="005808EA" w:rsidRDefault="00626AFB" w:rsidP="00087C30">
      <w:pPr>
        <w:rPr>
          <w:rFonts w:ascii="Times New Roman" w:hAnsi="Times New Roman" w:cs="Times New Roman"/>
          <w:sz w:val="24"/>
          <w:szCs w:val="24"/>
        </w:rPr>
      </w:pPr>
      <w:r w:rsidRPr="005808EA">
        <w:rPr>
          <w:rFonts w:ascii="Times New Roman" w:hAnsi="Times New Roman" w:cs="Times New Roman"/>
          <w:sz w:val="24"/>
          <w:szCs w:val="24"/>
        </w:rPr>
        <w:br/>
        <w:t xml:space="preserve">With the pension reform of 2010 and the decline in the age of entry into working life, the wage-earning population in France today is strongly </w:t>
      </w:r>
      <w:proofErr w:type="gramStart"/>
      <w:r w:rsidRPr="005808EA">
        <w:rPr>
          <w:rFonts w:ascii="Times New Roman" w:hAnsi="Times New Roman" w:cs="Times New Roman"/>
          <w:sz w:val="24"/>
          <w:szCs w:val="24"/>
        </w:rPr>
        <w:t>modified:</w:t>
      </w:r>
      <w:proofErr w:type="gramEnd"/>
      <w:r w:rsidRPr="005808EA">
        <w:rPr>
          <w:rFonts w:ascii="Times New Roman" w:hAnsi="Times New Roman" w:cs="Times New Roman"/>
          <w:sz w:val="24"/>
          <w:szCs w:val="24"/>
        </w:rPr>
        <w:t xml:space="preserve"> employees are older, resulting in an increase in the probability work stoppage and death. This latter risk is particularly important in group insurance because it generally compensates for losses caused by health insurance. It is therefore important to control it, in a context of structural changes that particularly influence it. On the other hand, the end of the designation clauses has made it possible to introduce new players into the complementary insurance market, and competition has increased. The proposed rates for death insurance are thus subject to two opposing </w:t>
      </w:r>
      <w:proofErr w:type="gramStart"/>
      <w:r w:rsidRPr="005808EA">
        <w:rPr>
          <w:rFonts w:ascii="Times New Roman" w:hAnsi="Times New Roman" w:cs="Times New Roman"/>
          <w:sz w:val="24"/>
          <w:szCs w:val="24"/>
        </w:rPr>
        <w:t>constraints:</w:t>
      </w:r>
      <w:proofErr w:type="gramEnd"/>
      <w:r w:rsidRPr="005808EA">
        <w:rPr>
          <w:rFonts w:ascii="Times New Roman" w:hAnsi="Times New Roman" w:cs="Times New Roman"/>
          <w:sz w:val="24"/>
          <w:szCs w:val="24"/>
        </w:rPr>
        <w:t xml:space="preserve"> - On the one hand, the risk of mortality increases with the aging of the population, which must lead to an increase in tariffs - On the other hand, competition forces organizations to offer attractive rates Groupama Gan Vie now proposes pricing based on an estimate of the mortality rate by a</w:t>
      </w:r>
      <w:bookmarkStart w:id="0" w:name="_GoBack"/>
      <w:bookmarkEnd w:id="0"/>
      <w:r w:rsidRPr="005808EA">
        <w:rPr>
          <w:rFonts w:ascii="Times New Roman" w:hAnsi="Times New Roman" w:cs="Times New Roman"/>
          <w:sz w:val="24"/>
          <w:szCs w:val="24"/>
        </w:rPr>
        <w:t>batement on the rates of the TH-0002 and TF-0002 regulatory tables. The following study proposes an approach adapted to the portfolio, through the production of an experience table and then a regression model allowing the taking into account of variables specific to each company. The study is limited to the risk of death due to any cause.</w:t>
      </w:r>
    </w:p>
    <w:p w:rsidR="003E51FD" w:rsidRPr="003E51FD" w:rsidRDefault="003E51FD" w:rsidP="00087C30">
      <w:pPr>
        <w:rPr>
          <w:sz w:val="24"/>
          <w:szCs w:val="24"/>
        </w:rPr>
      </w:pPr>
    </w:p>
    <w:sectPr w:rsidR="003E51FD" w:rsidRPr="003E51FD" w:rsidSect="00087C30">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C7635"/>
    <w:multiLevelType w:val="hybridMultilevel"/>
    <w:tmpl w:val="27A2EF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896F33"/>
    <w:multiLevelType w:val="hybridMultilevel"/>
    <w:tmpl w:val="734A52C6"/>
    <w:lvl w:ilvl="0" w:tplc="0AEA30B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48"/>
    <w:rsid w:val="00040D38"/>
    <w:rsid w:val="00087C30"/>
    <w:rsid w:val="00242688"/>
    <w:rsid w:val="00333C80"/>
    <w:rsid w:val="003E51FD"/>
    <w:rsid w:val="005539BE"/>
    <w:rsid w:val="005808EA"/>
    <w:rsid w:val="00626AFB"/>
    <w:rsid w:val="00782E87"/>
    <w:rsid w:val="009F1F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9094"/>
  <w15:chartTrackingRefBased/>
  <w15:docId w15:val="{9AB9D8BD-36A2-4F0A-8E1B-D05C30AA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C30"/>
    <w:pPr>
      <w:spacing w:after="180" w:line="274" w:lineRule="auto"/>
    </w:pPr>
    <w:rPr>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7C30"/>
    <w:pPr>
      <w:spacing w:line="240" w:lineRule="auto"/>
      <w:ind w:left="720" w:hanging="288"/>
      <w:contextualSpacing/>
    </w:pPr>
  </w:style>
  <w:style w:type="table" w:styleId="Grilledutableau">
    <w:name w:val="Table Grid"/>
    <w:basedOn w:val="TableauNormal"/>
    <w:uiPriority w:val="59"/>
    <w:rsid w:val="00087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087C3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87C30"/>
    <w:rPr>
      <w:rFonts w:eastAsiaTheme="minorEastAsia"/>
      <w:lang w:eastAsia="fr-FR"/>
    </w:rPr>
  </w:style>
  <w:style w:type="paragraph" w:styleId="Lgende">
    <w:name w:val="caption"/>
    <w:basedOn w:val="Normal"/>
    <w:next w:val="Normal"/>
    <w:uiPriority w:val="35"/>
    <w:unhideWhenUsed/>
    <w:qFormat/>
    <w:rsid w:val="00087C30"/>
    <w:pPr>
      <w:spacing w:line="240" w:lineRule="auto"/>
    </w:pPr>
    <w:rPr>
      <w:rFonts w:asciiTheme="majorHAnsi" w:eastAsiaTheme="minorEastAsia" w:hAnsiTheme="majorHAnsi"/>
      <w:bCs/>
      <w:smallCaps/>
      <w:color w:val="44546A" w:themeColor="text2"/>
      <w:spacing w:val="6"/>
      <w:sz w:val="22"/>
      <w:szCs w:val="18"/>
      <w:lang w:bidi="hi-IN"/>
    </w:rPr>
  </w:style>
  <w:style w:type="paragraph" w:styleId="PrformatHTML">
    <w:name w:val="HTML Preformatted"/>
    <w:basedOn w:val="Normal"/>
    <w:link w:val="PrformatHTMLCar"/>
    <w:uiPriority w:val="99"/>
    <w:semiHidden/>
    <w:unhideWhenUsed/>
    <w:rsid w:val="003E5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3E51FD"/>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965044">
      <w:bodyDiv w:val="1"/>
      <w:marLeft w:val="0"/>
      <w:marRight w:val="0"/>
      <w:marTop w:val="0"/>
      <w:marBottom w:val="0"/>
      <w:divBdr>
        <w:top w:val="none" w:sz="0" w:space="0" w:color="auto"/>
        <w:left w:val="none" w:sz="0" w:space="0" w:color="auto"/>
        <w:bottom w:val="none" w:sz="0" w:space="0" w:color="auto"/>
        <w:right w:val="none" w:sz="0" w:space="0" w:color="auto"/>
      </w:divBdr>
    </w:div>
    <w:div w:id="112743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F3"/>
    <w:rsid w:val="00522A07"/>
    <w:rsid w:val="005344C6"/>
    <w:rsid w:val="00984985"/>
    <w:rsid w:val="00DD72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0C8EF1490064D34B1BCEFAB66D7FBCB">
    <w:name w:val="10C8EF1490064D34B1BCEFAB66D7FBCB"/>
    <w:rsid w:val="00DD72F3"/>
  </w:style>
  <w:style w:type="paragraph" w:customStyle="1" w:styleId="5DF1EEA695D842AE917F73BFA8B17609">
    <w:name w:val="5DF1EEA695D842AE917F73BFA8B17609"/>
    <w:rsid w:val="00DD72F3"/>
  </w:style>
  <w:style w:type="paragraph" w:customStyle="1" w:styleId="207A9E90EC8E41FCADE650F67272D333">
    <w:name w:val="207A9E90EC8E41FCADE650F67272D333"/>
    <w:rsid w:val="00DD72F3"/>
  </w:style>
  <w:style w:type="paragraph" w:customStyle="1" w:styleId="54FA2AA3433D446396061EE7510820A0">
    <w:name w:val="54FA2AA3433D446396061EE7510820A0"/>
    <w:rsid w:val="00DD72F3"/>
  </w:style>
  <w:style w:type="paragraph" w:customStyle="1" w:styleId="06E86AFE800947C39B5FB6BE66D27199">
    <w:name w:val="06E86AFE800947C39B5FB6BE66D27199"/>
    <w:rsid w:val="00DD72F3"/>
  </w:style>
  <w:style w:type="paragraph" w:customStyle="1" w:styleId="B829C0BD0B72483BB9C78C406640FFF2">
    <w:name w:val="B829C0BD0B72483BB9C78C406640FFF2"/>
    <w:rsid w:val="00DD72F3"/>
  </w:style>
  <w:style w:type="paragraph" w:customStyle="1" w:styleId="5618AB54175444A48BCCABCA3C943F60">
    <w:name w:val="5618AB54175444A48BCCABCA3C943F60"/>
    <w:rsid w:val="00DD72F3"/>
  </w:style>
  <w:style w:type="paragraph" w:customStyle="1" w:styleId="978034B2519541DB91B7559FAF57AEE0">
    <w:name w:val="978034B2519541DB91B7559FAF57AEE0"/>
    <w:rsid w:val="00DD72F3"/>
  </w:style>
  <w:style w:type="paragraph" w:customStyle="1" w:styleId="25E05E8C4E84454B82AB5E978C911133">
    <w:name w:val="25E05E8C4E84454B82AB5E978C911133"/>
    <w:rsid w:val="00DD72F3"/>
  </w:style>
  <w:style w:type="paragraph" w:customStyle="1" w:styleId="65C783B3F2A44BCC943F664D89EA9CA4">
    <w:name w:val="65C783B3F2A44BCC943F664D89EA9CA4"/>
    <w:rsid w:val="00DD72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2017-09-01T00:00:00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2205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Synthèse</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Synthèse</dc:title>
  <dc:subject>Mémoire d’actuariat</dc:subject>
  <dc:creator>Marion Goblet</dc:creator>
  <cp:keywords/>
  <dc:description/>
  <cp:lastModifiedBy>marion</cp:lastModifiedBy>
  <cp:revision>2</cp:revision>
  <cp:lastPrinted>2018-01-21T10:33:00Z</cp:lastPrinted>
  <dcterms:created xsi:type="dcterms:W3CDTF">2018-01-21T10:36:00Z</dcterms:created>
  <dcterms:modified xsi:type="dcterms:W3CDTF">2018-01-21T10:36:00Z</dcterms:modified>
</cp:coreProperties>
</file>